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BB61C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14:paraId="686630FA" w14:textId="77777777" w:rsidR="00457E12" w:rsidRDefault="00457E12" w:rsidP="00457E12">
      <w:pPr>
        <w:tabs>
          <w:tab w:val="left" w:pos="10915"/>
        </w:tabs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</w:p>
    <w:p w14:paraId="3371DABC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14:paraId="31E13810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14:paraId="28308885" w14:textId="77777777" w:rsidR="00457E12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__________А.Б.Захарчук</w:t>
      </w:r>
    </w:p>
    <w:p w14:paraId="68F20D76" w14:textId="77777777" w:rsidR="00457E12" w:rsidRPr="00632044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D23D9">
        <w:rPr>
          <w:rFonts w:ascii="Times New Roman" w:hAnsi="Times New Roman" w:cs="Times New Roman"/>
          <w:sz w:val="30"/>
          <w:szCs w:val="30"/>
        </w:rPr>
        <w:t xml:space="preserve">       «</w:t>
      </w:r>
      <w:r w:rsidR="00FE618D">
        <w:rPr>
          <w:rFonts w:ascii="Times New Roman" w:hAnsi="Times New Roman" w:cs="Times New Roman"/>
          <w:sz w:val="30"/>
          <w:szCs w:val="30"/>
        </w:rPr>
        <w:t>3</w:t>
      </w:r>
      <w:r w:rsidR="003A3308">
        <w:rPr>
          <w:rFonts w:ascii="Times New Roman" w:hAnsi="Times New Roman" w:cs="Times New Roman"/>
          <w:sz w:val="30"/>
          <w:szCs w:val="30"/>
        </w:rPr>
        <w:t xml:space="preserve">» </w:t>
      </w:r>
      <w:r w:rsidR="00FE618D">
        <w:rPr>
          <w:rFonts w:ascii="Times New Roman" w:hAnsi="Times New Roman" w:cs="Times New Roman"/>
          <w:sz w:val="30"/>
          <w:szCs w:val="30"/>
        </w:rPr>
        <w:t>февраля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FE618D">
        <w:rPr>
          <w:rFonts w:ascii="Times New Roman" w:hAnsi="Times New Roman" w:cs="Times New Roman"/>
          <w:sz w:val="30"/>
          <w:szCs w:val="30"/>
        </w:rPr>
        <w:t xml:space="preserve">5 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14:paraId="28FB5C15" w14:textId="77777777"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FE618D">
        <w:rPr>
          <w:rFonts w:ascii="Times New Roman" w:hAnsi="Times New Roman" w:cs="Times New Roman"/>
          <w:sz w:val="32"/>
          <w:szCs w:val="32"/>
        </w:rPr>
        <w:t>февраль 2025</w:t>
      </w:r>
      <w:r w:rsidR="00447281">
        <w:rPr>
          <w:rFonts w:ascii="Times New Roman" w:hAnsi="Times New Roman" w:cs="Times New Roman"/>
          <w:sz w:val="32"/>
          <w:szCs w:val="32"/>
        </w:rPr>
        <w:t xml:space="preserve">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594"/>
        <w:gridCol w:w="2916"/>
        <w:gridCol w:w="2268"/>
        <w:gridCol w:w="1418"/>
        <w:gridCol w:w="1559"/>
        <w:gridCol w:w="1843"/>
        <w:gridCol w:w="4253"/>
      </w:tblGrid>
      <w:tr w:rsidR="00AC72AF" w14:paraId="762BA809" w14:textId="77777777" w:rsidTr="0070102F">
        <w:tc>
          <w:tcPr>
            <w:tcW w:w="594" w:type="dxa"/>
          </w:tcPr>
          <w:p w14:paraId="4E0860E7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916" w:type="dxa"/>
          </w:tcPr>
          <w:p w14:paraId="327A5E80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  <w:proofErr w:type="spellStart"/>
            <w:r w:rsidRPr="003824CF">
              <w:rPr>
                <w:rFonts w:ascii="Times New Roman" w:hAnsi="Times New Roman" w:cs="Times New Roman"/>
                <w:sz w:val="28"/>
              </w:rPr>
              <w:t>субъекта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  <w:proofErr w:type="spellEnd"/>
          </w:p>
        </w:tc>
        <w:tc>
          <w:tcPr>
            <w:tcW w:w="2268" w:type="dxa"/>
          </w:tcPr>
          <w:p w14:paraId="1B883383" w14:textId="77777777"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1418" w:type="dxa"/>
          </w:tcPr>
          <w:p w14:paraId="532CE85A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559" w:type="dxa"/>
          </w:tcPr>
          <w:p w14:paraId="7CDAB4A3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843" w:type="dxa"/>
          </w:tcPr>
          <w:p w14:paraId="6D50B94A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4253" w:type="dxa"/>
          </w:tcPr>
          <w:p w14:paraId="4CE13143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D16FB5" w:rsidRPr="007F497B" w14:paraId="37E18628" w14:textId="77777777" w:rsidTr="0070102F">
        <w:trPr>
          <w:trHeight w:val="983"/>
        </w:trPr>
        <w:tc>
          <w:tcPr>
            <w:tcW w:w="594" w:type="dxa"/>
          </w:tcPr>
          <w:p w14:paraId="03DA532A" w14:textId="77777777" w:rsidR="00D16FB5" w:rsidRPr="007F497B" w:rsidRDefault="007F497B" w:rsidP="000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14:paraId="69B52954" w14:textId="77777777" w:rsidR="00D16FB5" w:rsidRPr="007F497B" w:rsidRDefault="00D16FB5" w:rsidP="000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УЗ «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ЦРБ»</w:t>
            </w:r>
          </w:p>
        </w:tc>
        <w:tc>
          <w:tcPr>
            <w:tcW w:w="2268" w:type="dxa"/>
          </w:tcPr>
          <w:p w14:paraId="65FF68C2" w14:textId="77777777" w:rsidR="00D16FB5" w:rsidRPr="007F497B" w:rsidRDefault="00D16FB5" w:rsidP="000C10B4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Гайненский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Логозинский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Швабский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Калачевский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Острошицкий ФАП, 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Засовьевский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Зареченский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 xml:space="preserve">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Завишинский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Октябрьский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Косинский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Чуденичский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Беларучский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Семковский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ФАП, УЗ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ЦРБ» 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Жестиновский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ФАП</w:t>
            </w:r>
          </w:p>
        </w:tc>
        <w:tc>
          <w:tcPr>
            <w:tcW w:w="1418" w:type="dxa"/>
          </w:tcPr>
          <w:p w14:paraId="1262D43D" w14:textId="77777777" w:rsidR="00D16FB5" w:rsidRPr="007F497B" w:rsidRDefault="00D61A28" w:rsidP="00890077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аг.Гайна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пер.Больничный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3, 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д.Логоза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д.Швабы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ул.Центральная,38,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аг.Калачи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аг.Острошицы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38,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д.Засовье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ул.Школьная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д.Заречье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ул.Заречная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7,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д.Завишино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34,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д.Октябрь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ул.Центральная,35,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аг.Косино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ул.Школьная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91,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д.Чуденичи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8, 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д.Беларучи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ул.Центральная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д.Семково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 xml:space="preserve">,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ул.Садовая</w:t>
            </w:r>
            <w:proofErr w:type="spellEnd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,</w:t>
            </w:r>
            <w:r w:rsidR="00D16FB5" w:rsidRPr="007F497B">
              <w:rPr>
                <w:rStyle w:val="714pt"/>
                <w:rFonts w:eastAsiaTheme="minorHAnsi"/>
                <w:bCs w:val="0"/>
                <w:sz w:val="24"/>
                <w:szCs w:val="24"/>
              </w:rPr>
              <w:t xml:space="preserve"> </w:t>
            </w:r>
            <w:proofErr w:type="spellStart"/>
            <w:r w:rsidR="00D16FB5" w:rsidRPr="007F497B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д.Жестиное</w:t>
            </w:r>
            <w:proofErr w:type="spellEnd"/>
          </w:p>
          <w:p w14:paraId="7474E200" w14:textId="77777777" w:rsidR="00D16FB5" w:rsidRPr="007F497B" w:rsidRDefault="00D16FB5" w:rsidP="008900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30F22E5" w14:textId="77777777" w:rsidR="00D16FB5" w:rsidRPr="007F497B" w:rsidRDefault="00D16FB5" w:rsidP="0020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14:paraId="36BA7FA3" w14:textId="77777777" w:rsidR="00D16FB5" w:rsidRPr="007F497B" w:rsidRDefault="00D16FB5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4253" w:type="dxa"/>
          </w:tcPr>
          <w:p w14:paraId="2BBF5EE4" w14:textId="77777777" w:rsidR="00D16FB5" w:rsidRPr="007F497B" w:rsidRDefault="00D16FB5" w:rsidP="00890077">
            <w:pPr>
              <w:ind w:right="14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F4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ыполнени</w:t>
            </w: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F4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требований санитарно-эпидемиологического законодательства при оказании услуг населению в учреждении здравоохранения</w:t>
            </w:r>
          </w:p>
          <w:p w14:paraId="67A82006" w14:textId="77777777" w:rsidR="00D16FB5" w:rsidRPr="007F497B" w:rsidRDefault="00D16FB5" w:rsidP="00935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A28" w:rsidRPr="007F497B" w14:paraId="0206E23D" w14:textId="77777777" w:rsidTr="0070102F">
        <w:trPr>
          <w:trHeight w:val="6135"/>
        </w:trPr>
        <w:tc>
          <w:tcPr>
            <w:tcW w:w="594" w:type="dxa"/>
            <w:vMerge w:val="restart"/>
          </w:tcPr>
          <w:p w14:paraId="61E48FA9" w14:textId="77777777" w:rsidR="007F497B" w:rsidRDefault="007F497B" w:rsidP="000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8682C26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27AE7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1EC9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E8D0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4875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96AAE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E46A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9BD1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86404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1B191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5BF6D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7178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6DD43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336EC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EBE91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1C1C7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3C7EF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9F119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2F452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3B606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ABB8E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9F2FA" w14:textId="77777777" w:rsidR="00D61A28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14:paraId="073B4A19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5C6E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960C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CF2AC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67FA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D363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292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4A6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B2B0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DB21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6646B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7382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15355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6BBB1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7102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B2F4C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23AB8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29382F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A9E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8CB0C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24895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7264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871D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342C5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543D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6560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6FD13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79CA4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11824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2F8811BE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D78D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0DF1E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38A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EFDB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C886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B0F66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A864F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F5EC4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3456A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AE6E5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C78D4E7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C898B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7B59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0E1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ADBC6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E11D8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F8048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92AD0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538A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B724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AA07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2D976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D54B7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C9F2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1E1C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467EDFCE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CAE3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44CC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32C6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AA97C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4B38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B501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7DBCE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3584" w14:textId="77777777" w:rsidR="00667068" w:rsidRDefault="00667068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82BCD" w14:textId="20D5E6EF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14:paraId="6BA539A0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0AD6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83E9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588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8CD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AEE3" w14:textId="7226A2E6" w:rsidR="007F497B" w:rsidRPr="007F497B" w:rsidRDefault="00667068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4F4433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margin-left:23.55pt;margin-top:7.6pt;width:10in;height:1.5pt;flip:y;z-index:251681792" o:connectortype="straight"/>
              </w:pict>
            </w:r>
          </w:p>
          <w:p w14:paraId="2A36019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72656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6AB7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C3E83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D1F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31C7E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90D7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5E265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32EE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DA010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26A37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1A91B" w14:textId="77777777" w:rsid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14495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14:paraId="5730BE73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lastRenderedPageBreak/>
              <w:t>Сельскохозяйственного комплекса "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Логойский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" филиал РУП "Белоруснефть-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Минскоблнефтепродукт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",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аг.Гостиловичи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690314876):</w:t>
            </w:r>
          </w:p>
          <w:p w14:paraId="04073612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23B20BE2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007EB18D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176E1689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258198ED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E9F34" w14:textId="77777777" w:rsidR="00667068" w:rsidRDefault="00D61A28" w:rsidP="000C10B4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Гостиловичи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», МТК «Заозерье», МТФ «Липки»,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, </w:t>
            </w:r>
          </w:p>
          <w:p w14:paraId="3D23E151" w14:textId="77777777" w:rsidR="00667068" w:rsidRDefault="00667068" w:rsidP="000C10B4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</w:p>
          <w:p w14:paraId="4FD81DE0" w14:textId="77777777" w:rsidR="00667068" w:rsidRDefault="00D61A28" w:rsidP="0066706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,</w:t>
            </w:r>
          </w:p>
          <w:p w14:paraId="4369AB6F" w14:textId="77777777" w:rsidR="00667068" w:rsidRDefault="00667068" w:rsidP="0066706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</w:p>
          <w:p w14:paraId="31DB5174" w14:textId="55EE01A7" w:rsidR="00667068" w:rsidRDefault="00D61A28" w:rsidP="0066706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склад пестицидов и минеральных </w:t>
            </w:r>
          </w:p>
          <w:p w14:paraId="58D1FF52" w14:textId="58FD67BC" w:rsidR="00D61A28" w:rsidRDefault="00D61A28" w:rsidP="000C10B4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удобрений </w:t>
            </w:r>
          </w:p>
          <w:p w14:paraId="0C81745C" w14:textId="77777777" w:rsidR="00667068" w:rsidRDefault="00667068" w:rsidP="000C10B4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</w:p>
          <w:p w14:paraId="38E15A87" w14:textId="77777777" w:rsidR="00667068" w:rsidRPr="00667068" w:rsidRDefault="00667068" w:rsidP="00667068"/>
          <w:p w14:paraId="0BFD0FC1" w14:textId="77777777" w:rsidR="00667068" w:rsidRPr="00667068" w:rsidRDefault="00667068" w:rsidP="00667068"/>
          <w:p w14:paraId="152A21D5" w14:textId="77777777" w:rsidR="00667068" w:rsidRPr="00667068" w:rsidRDefault="00667068" w:rsidP="00667068"/>
          <w:p w14:paraId="7389B83C" w14:textId="77777777" w:rsidR="00667068" w:rsidRPr="00667068" w:rsidRDefault="00667068" w:rsidP="00667068"/>
          <w:p w14:paraId="77D471D1" w14:textId="068EB016" w:rsidR="00667068" w:rsidRPr="00667068" w:rsidRDefault="00667068" w:rsidP="00667068"/>
        </w:tc>
        <w:tc>
          <w:tcPr>
            <w:tcW w:w="1418" w:type="dxa"/>
          </w:tcPr>
          <w:p w14:paraId="3053A980" w14:textId="77777777" w:rsidR="00D61A28" w:rsidRDefault="00667068" w:rsidP="00890077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аг.Гостиловичи</w:t>
            </w:r>
            <w:proofErr w:type="spellEnd"/>
          </w:p>
          <w:p w14:paraId="62CE2006" w14:textId="77777777" w:rsidR="00667068" w:rsidRDefault="00667068" w:rsidP="00890077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д.Заозерье</w:t>
            </w:r>
            <w:proofErr w:type="spellEnd"/>
          </w:p>
          <w:p w14:paraId="295EDD41" w14:textId="77777777" w:rsidR="00667068" w:rsidRDefault="00667068" w:rsidP="00667068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д.Липки</w:t>
            </w:r>
            <w:proofErr w:type="spellEnd"/>
          </w:p>
          <w:p w14:paraId="714FFFE7" w14:textId="77777777" w:rsidR="00667068" w:rsidRDefault="00667068" w:rsidP="00667068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аг.Гостиловичи</w:t>
            </w:r>
            <w:proofErr w:type="spellEnd"/>
          </w:p>
          <w:p w14:paraId="199114B3" w14:textId="77777777" w:rsidR="00667068" w:rsidRDefault="00667068" w:rsidP="00667068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аг.Камено</w:t>
            </w:r>
            <w:proofErr w:type="spellEnd"/>
          </w:p>
          <w:p w14:paraId="74036664" w14:textId="77777777" w:rsidR="00667068" w:rsidRDefault="00667068" w:rsidP="00667068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2C1F6832" w14:textId="791E4734" w:rsidR="00667068" w:rsidRPr="007F497B" w:rsidRDefault="00667068" w:rsidP="00667068">
            <w:pPr>
              <w:pStyle w:val="70"/>
              <w:shd w:val="clear" w:color="auto" w:fill="auto"/>
              <w:spacing w:before="0" w:after="0" w:line="240" w:lineRule="auto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аг.гостиловичи</w:t>
            </w:r>
            <w:proofErr w:type="spellEnd"/>
          </w:p>
        </w:tc>
        <w:tc>
          <w:tcPr>
            <w:tcW w:w="1559" w:type="dxa"/>
          </w:tcPr>
          <w:p w14:paraId="4BED1703" w14:textId="77777777" w:rsidR="00D61A28" w:rsidRPr="007F497B" w:rsidRDefault="00D61A28" w:rsidP="0020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198A78D" w14:textId="77777777" w:rsidR="00D61A28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  <w:p w14:paraId="3860C7C8" w14:textId="77777777" w:rsidR="00D61A28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253" w:type="dxa"/>
          </w:tcPr>
          <w:p w14:paraId="73DD0B49" w14:textId="77777777" w:rsidR="00D61A28" w:rsidRPr="007F497B" w:rsidRDefault="00D61A28" w:rsidP="00890077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  <w:tr w:rsidR="00D61A28" w:rsidRPr="007F497B" w14:paraId="46852B77" w14:textId="77777777" w:rsidTr="0070102F">
        <w:trPr>
          <w:trHeight w:val="4515"/>
        </w:trPr>
        <w:tc>
          <w:tcPr>
            <w:tcW w:w="594" w:type="dxa"/>
            <w:vMerge/>
          </w:tcPr>
          <w:p w14:paraId="5D21F53B" w14:textId="77777777" w:rsidR="00D61A28" w:rsidRPr="007F497B" w:rsidRDefault="00D61A28" w:rsidP="00BA2E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7AC9C5AE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Открытого акционерного общества «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Крайск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»,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аг.Крайск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600041786): </w:t>
            </w:r>
          </w:p>
          <w:p w14:paraId="29B18E9C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1BB8CDD1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1BBC87EC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2AB716AB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4CED5EDC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495CF55D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0E3DC9A7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736DCF7A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6BD63EB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AAF1E17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6B222B86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18ECA559" w14:textId="77777777" w:rsidR="00D61A28" w:rsidRPr="007F497B" w:rsidRDefault="00D61A28" w:rsidP="00BA2E8F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3FFA221" w14:textId="77777777" w:rsidR="00667068" w:rsidRDefault="00D61A2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Сушково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», МТФ «Гриневичи», </w:t>
            </w:r>
          </w:p>
          <w:p w14:paraId="01ADE0D6" w14:textId="77777777" w:rsidR="00667068" w:rsidRDefault="0066706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</w:p>
          <w:p w14:paraId="49900FF0" w14:textId="3B867153" w:rsidR="00D61A28" w:rsidRPr="007F497B" w:rsidRDefault="00D61A2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Рогозино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, склад пестицидов и минеральных удобрений; </w:t>
            </w:r>
          </w:p>
          <w:p w14:paraId="36C04467" w14:textId="77777777" w:rsidR="00D61A28" w:rsidRPr="007F497B" w:rsidRDefault="00D61A2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  <w:p w14:paraId="090CF192" w14:textId="77777777" w:rsidR="00D61A28" w:rsidRPr="007F497B" w:rsidRDefault="00D61A2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  <w:p w14:paraId="509C32D3" w14:textId="77777777" w:rsidR="00D61A28" w:rsidRPr="007F497B" w:rsidRDefault="00D61A28" w:rsidP="00BA2E8F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AF34C9" w14:textId="7C8E7605" w:rsidR="00D61A28" w:rsidRDefault="00667068" w:rsidP="00BA2E8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д.Сушково</w:t>
            </w:r>
            <w:proofErr w:type="spellEnd"/>
          </w:p>
          <w:p w14:paraId="7130935C" w14:textId="77777777" w:rsidR="00667068" w:rsidRDefault="00667068" w:rsidP="00BA2E8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д.Гриневичи</w:t>
            </w:r>
            <w:proofErr w:type="spellEnd"/>
          </w:p>
          <w:p w14:paraId="303AFB2E" w14:textId="77777777" w:rsidR="00667068" w:rsidRDefault="00667068" w:rsidP="00BA2E8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д.Рогозино</w:t>
            </w:r>
            <w:proofErr w:type="spellEnd"/>
          </w:p>
          <w:p w14:paraId="0470DA74" w14:textId="77777777" w:rsidR="00667068" w:rsidRDefault="00667068" w:rsidP="00BA2E8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аг.Крайск</w:t>
            </w:r>
            <w:proofErr w:type="spellEnd"/>
          </w:p>
          <w:p w14:paraId="135698C1" w14:textId="466DC06E" w:rsidR="00667068" w:rsidRPr="007F497B" w:rsidRDefault="00667068" w:rsidP="00BA2E8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аг.Крайск</w:t>
            </w:r>
            <w:proofErr w:type="spellEnd"/>
          </w:p>
        </w:tc>
        <w:tc>
          <w:tcPr>
            <w:tcW w:w="1559" w:type="dxa"/>
          </w:tcPr>
          <w:p w14:paraId="7C2EDE41" w14:textId="77777777" w:rsidR="00D61A28" w:rsidRPr="007F497B" w:rsidRDefault="00D61A28" w:rsidP="00B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2D116205" w14:textId="77777777" w:rsidR="00D61A28" w:rsidRPr="007F497B" w:rsidRDefault="00D61A28" w:rsidP="00BA2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4253" w:type="dxa"/>
          </w:tcPr>
          <w:p w14:paraId="0EEA1DC8" w14:textId="77777777" w:rsidR="00D61A28" w:rsidRPr="007F497B" w:rsidRDefault="00D61A28" w:rsidP="00BA2E8F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  <w:tr w:rsidR="00D61A28" w:rsidRPr="007F497B" w14:paraId="41B54E7B" w14:textId="77777777" w:rsidTr="0070102F">
        <w:trPr>
          <w:trHeight w:val="3480"/>
        </w:trPr>
        <w:tc>
          <w:tcPr>
            <w:tcW w:w="594" w:type="dxa"/>
            <w:vMerge/>
          </w:tcPr>
          <w:p w14:paraId="7DE15BB4" w14:textId="77777777" w:rsidR="00D61A28" w:rsidRPr="007F497B" w:rsidRDefault="00D61A28" w:rsidP="00AA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98802AC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Открытого акционерного общества «Хорошее»,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д.Засовье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600223439): </w:t>
            </w:r>
          </w:p>
          <w:p w14:paraId="01DB6B1D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9A8D6DB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D47668E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77361BA4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71CF5C69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B190F79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4B735B04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23777BED" w14:textId="77777777" w:rsidR="00D61A28" w:rsidRPr="007F497B" w:rsidRDefault="00D61A28" w:rsidP="00AA22F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D9F3E9" w14:textId="4D042750" w:rsidR="00D61A28" w:rsidRPr="007F497B" w:rsidRDefault="00D61A28" w:rsidP="00AA22F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склад пестицидов и минеральных удобрений,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14:paraId="1313F4F0" w14:textId="77777777" w:rsidR="00D61A2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аг.Задорье</w:t>
            </w:r>
            <w:proofErr w:type="spellEnd"/>
          </w:p>
          <w:p w14:paraId="782092F1" w14:textId="77777777" w:rsidR="0066706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11726B73" w14:textId="77777777" w:rsidR="0066706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796F100D" w14:textId="235E44EE" w:rsidR="00667068" w:rsidRPr="007F497B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д.Засовье</w:t>
            </w:r>
            <w:proofErr w:type="spellEnd"/>
          </w:p>
        </w:tc>
        <w:tc>
          <w:tcPr>
            <w:tcW w:w="1559" w:type="dxa"/>
          </w:tcPr>
          <w:p w14:paraId="34C7BDD5" w14:textId="77777777" w:rsidR="00D61A28" w:rsidRPr="007F497B" w:rsidRDefault="00D61A28" w:rsidP="00AA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DCA58A3" w14:textId="77777777" w:rsidR="00D61A28" w:rsidRPr="007F497B" w:rsidRDefault="00D61A28" w:rsidP="00AA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4253" w:type="dxa"/>
          </w:tcPr>
          <w:p w14:paraId="06B75144" w14:textId="77777777" w:rsidR="00D61A28" w:rsidRPr="007F497B" w:rsidRDefault="00D61A28" w:rsidP="00AA22F8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  <w:tr w:rsidR="00D61A28" w:rsidRPr="007F497B" w14:paraId="7E6B8705" w14:textId="77777777" w:rsidTr="0070102F">
        <w:trPr>
          <w:trHeight w:val="2826"/>
        </w:trPr>
        <w:tc>
          <w:tcPr>
            <w:tcW w:w="594" w:type="dxa"/>
            <w:vMerge/>
          </w:tcPr>
          <w:p w14:paraId="6390A809" w14:textId="77777777" w:rsidR="00D61A28" w:rsidRPr="007F497B" w:rsidRDefault="00D61A28" w:rsidP="00AA2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3F8B5BED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Сельскохозяйственного цеха "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Гайна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"  Открытого акционерного общества "Минский тракторный завод",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аг.Гайна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100316761): </w:t>
            </w:r>
          </w:p>
        </w:tc>
        <w:tc>
          <w:tcPr>
            <w:tcW w:w="2268" w:type="dxa"/>
          </w:tcPr>
          <w:p w14:paraId="60527A33" w14:textId="68DE1AFF" w:rsidR="00D61A28" w:rsidRPr="007F497B" w:rsidRDefault="00D61A28" w:rsidP="00AA22F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МТК 384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Гайна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», МТК 777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Гайна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», 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Логоза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», 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Кузевичи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;</w:t>
            </w:r>
          </w:p>
          <w:p w14:paraId="5726CDF8" w14:textId="77777777" w:rsidR="00D61A28" w:rsidRPr="007F497B" w:rsidRDefault="00D61A28" w:rsidP="00AA22F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017177" w14:textId="77777777" w:rsidR="00D61A2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аг.Гайна</w:t>
            </w:r>
            <w:proofErr w:type="spellEnd"/>
          </w:p>
          <w:p w14:paraId="475DAA51" w14:textId="77777777" w:rsidR="0066706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аг.Гайна</w:t>
            </w:r>
            <w:proofErr w:type="spellEnd"/>
          </w:p>
          <w:p w14:paraId="5052A02B" w14:textId="77777777" w:rsidR="0066706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д.Логоза</w:t>
            </w:r>
            <w:proofErr w:type="spellEnd"/>
          </w:p>
          <w:p w14:paraId="53A3A78B" w14:textId="77777777" w:rsidR="00667068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д.Кузевичи</w:t>
            </w:r>
            <w:proofErr w:type="spellEnd"/>
          </w:p>
          <w:p w14:paraId="06B87BF6" w14:textId="7E4EFE63" w:rsidR="00667068" w:rsidRPr="007F497B" w:rsidRDefault="00667068" w:rsidP="00AA22F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667068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аг.Гайна</w:t>
            </w:r>
            <w:proofErr w:type="spellEnd"/>
          </w:p>
        </w:tc>
        <w:tc>
          <w:tcPr>
            <w:tcW w:w="1559" w:type="dxa"/>
          </w:tcPr>
          <w:p w14:paraId="6E78502D" w14:textId="77777777" w:rsidR="00D61A28" w:rsidRPr="007F497B" w:rsidRDefault="00D61A28" w:rsidP="00AA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18A8B6F3" w14:textId="77777777" w:rsidR="00D61A28" w:rsidRPr="007F497B" w:rsidRDefault="00D61A28" w:rsidP="00AA22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4253" w:type="dxa"/>
          </w:tcPr>
          <w:p w14:paraId="1B7F51A2" w14:textId="77777777" w:rsidR="00D61A28" w:rsidRPr="007F497B" w:rsidRDefault="00D61A28" w:rsidP="00AA22F8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  <w:tr w:rsidR="00D61A28" w:rsidRPr="007F497B" w14:paraId="02CDF1EC" w14:textId="77777777" w:rsidTr="0070102F">
        <w:trPr>
          <w:trHeight w:val="4380"/>
        </w:trPr>
        <w:tc>
          <w:tcPr>
            <w:tcW w:w="594" w:type="dxa"/>
            <w:vMerge/>
          </w:tcPr>
          <w:p w14:paraId="7E27BC7B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5576A9A7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Нестановичи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-Агро», д. Малые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Нестновичи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690657600): </w:t>
            </w:r>
          </w:p>
          <w:p w14:paraId="445745F5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63239D1F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684F9549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01F085B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190680B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2BF457CC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7D8F2DE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8EA0C9C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05F28DF9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453D4001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5D0BD" w14:textId="77777777" w:rsidR="0070102F" w:rsidRDefault="00D61A28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МТФ «Белое», </w:t>
            </w:r>
          </w:p>
          <w:p w14:paraId="4D2C4642" w14:textId="77777777" w:rsidR="0070102F" w:rsidRDefault="00D61A28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МТК «Малые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Нестановичи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 склад пестицидов и минеральных удобрений, </w:t>
            </w:r>
          </w:p>
          <w:p w14:paraId="59CD4931" w14:textId="2D7597AB" w:rsidR="00D61A28" w:rsidRPr="007F497B" w:rsidRDefault="00D61A28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склад пестицидов и минеральных удобрений,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;</w:t>
            </w:r>
          </w:p>
        </w:tc>
        <w:tc>
          <w:tcPr>
            <w:tcW w:w="1418" w:type="dxa"/>
          </w:tcPr>
          <w:p w14:paraId="0DC0CCAB" w14:textId="023CC1E0" w:rsidR="00D61A28" w:rsidRDefault="0070102F" w:rsidP="0070102F">
            <w:pPr>
              <w:ind w:left="-398"/>
              <w:jc w:val="center"/>
              <w:rPr>
                <w:rStyle w:val="714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sz w:val="24"/>
                <w:szCs w:val="24"/>
              </w:rPr>
              <w:t>д</w:t>
            </w:r>
            <w:r w:rsidRPr="0070102F">
              <w:rPr>
                <w:rStyle w:val="714pt"/>
                <w:rFonts w:eastAsiaTheme="minorHAnsi"/>
                <w:sz w:val="24"/>
                <w:szCs w:val="24"/>
              </w:rPr>
              <w:t>.Белое</w:t>
            </w:r>
            <w:proofErr w:type="spellEnd"/>
          </w:p>
          <w:p w14:paraId="20C3B7D0" w14:textId="77777777" w:rsidR="0070102F" w:rsidRDefault="0070102F" w:rsidP="0070102F">
            <w:pPr>
              <w:ind w:left="-104"/>
              <w:jc w:val="center"/>
              <w:rPr>
                <w:rStyle w:val="714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sz w:val="24"/>
                <w:szCs w:val="24"/>
              </w:rPr>
              <w:t>д.М.Нестановичи</w:t>
            </w:r>
            <w:proofErr w:type="spellEnd"/>
          </w:p>
          <w:p w14:paraId="6BE3F738" w14:textId="77777777" w:rsid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sz w:val="24"/>
                <w:szCs w:val="24"/>
              </w:rPr>
              <w:t>д.Белое</w:t>
            </w:r>
            <w:proofErr w:type="spellEnd"/>
          </w:p>
          <w:p w14:paraId="6A003C39" w14:textId="77777777" w:rsid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  <w:p w14:paraId="4DA9A972" w14:textId="77777777" w:rsid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  <w:p w14:paraId="765D1396" w14:textId="77777777" w:rsid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sz w:val="24"/>
                <w:szCs w:val="24"/>
              </w:rPr>
              <w:t>д.Б.Нестановичи</w:t>
            </w:r>
            <w:proofErr w:type="spellEnd"/>
          </w:p>
          <w:p w14:paraId="0E80F892" w14:textId="77777777" w:rsid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</w:p>
          <w:p w14:paraId="337DCD0B" w14:textId="003D47AA" w:rsidR="0070102F" w:rsidRPr="0070102F" w:rsidRDefault="0070102F" w:rsidP="0070102F">
            <w:pPr>
              <w:ind w:left="-104"/>
              <w:jc w:val="both"/>
              <w:rPr>
                <w:rStyle w:val="714pt"/>
                <w:rFonts w:eastAsiaTheme="minorHAnsi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sz w:val="24"/>
                <w:szCs w:val="24"/>
              </w:rPr>
              <w:t>д.М.Нестановичи</w:t>
            </w:r>
            <w:proofErr w:type="spellEnd"/>
          </w:p>
        </w:tc>
        <w:tc>
          <w:tcPr>
            <w:tcW w:w="1559" w:type="dxa"/>
          </w:tcPr>
          <w:p w14:paraId="7C2FFC94" w14:textId="77777777" w:rsidR="00D61A28" w:rsidRPr="007F497B" w:rsidRDefault="00D61A28" w:rsidP="00D61A28">
            <w:pPr>
              <w:ind w:left="-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57F9B4F2" w14:textId="77777777" w:rsidR="00D61A28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4253" w:type="dxa"/>
          </w:tcPr>
          <w:p w14:paraId="219F996F" w14:textId="77777777" w:rsidR="00D61A28" w:rsidRPr="007F497B" w:rsidRDefault="00D61A28" w:rsidP="00D61A28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  <w:tr w:rsidR="00D61A28" w:rsidRPr="007F497B" w14:paraId="1EFD32DA" w14:textId="77777777" w:rsidTr="0070102F">
        <w:trPr>
          <w:trHeight w:val="2117"/>
        </w:trPr>
        <w:tc>
          <w:tcPr>
            <w:tcW w:w="594" w:type="dxa"/>
            <w:vMerge/>
          </w:tcPr>
          <w:p w14:paraId="31C69FDC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BEF8C73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Сельскохозяйственного комплекса "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Острошицы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" филиала ОАО "Минский комбинат хлебопродуктов»,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аг.Острошицы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601055405): </w:t>
            </w:r>
          </w:p>
          <w:p w14:paraId="1FEBD3DF" w14:textId="77777777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52BDF6A" w14:textId="4586A34F" w:rsidR="00D61A28" w:rsidRPr="007F497B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17C94E84" w14:textId="77777777" w:rsidR="00667068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8C8080E" w14:textId="4520D647" w:rsidR="00667068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lastRenderedPageBreak/>
              <w:t>Коммунального сельскохозяйственного предприятия "Спутник-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агро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",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аг.Октябрь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690849140): МТФ «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Уболотье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»; </w:t>
            </w:r>
          </w:p>
          <w:p w14:paraId="61ABD156" w14:textId="77777777" w:rsidR="00667068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6F26B155" w14:textId="5C3A3DCF" w:rsidR="00D61A28" w:rsidRDefault="00D61A2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Общества с ограниченной ответственностью «СНБ-Агро»,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аг.Калачи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690303505), </w:t>
            </w:r>
          </w:p>
          <w:p w14:paraId="416213CD" w14:textId="6A9E8500" w:rsidR="00667068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E612F8F" w14:textId="516A63A1" w:rsidR="00667068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797CF9CB" w14:textId="4A87C693" w:rsidR="00667068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55D9C98C" w14:textId="77777777" w:rsidR="00667068" w:rsidRPr="007F497B" w:rsidRDefault="00667068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3A6E0330" w14:textId="77777777" w:rsidR="00D61A28" w:rsidRPr="007F497B" w:rsidRDefault="0070102F" w:rsidP="00D61A28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pict w14:anchorId="11520D25">
                <v:shape id="_x0000_s1042" type="#_x0000_t32" style="position:absolute;margin-left:-6.9pt;margin-top:13.05pt;width:741.75pt;height:6pt;flip:y;z-index:251680768" o:connectortype="straight"/>
              </w:pict>
            </w:r>
          </w:p>
          <w:p w14:paraId="297D2546" w14:textId="77777777" w:rsidR="007F497B" w:rsidRDefault="007F497B" w:rsidP="007F497B">
            <w:pPr>
              <w:rPr>
                <w:rStyle w:val="714pt"/>
                <w:rFonts w:eastAsiaTheme="minorHAnsi"/>
                <w:bCs/>
                <w:sz w:val="24"/>
                <w:szCs w:val="24"/>
              </w:rPr>
            </w:pPr>
          </w:p>
          <w:p w14:paraId="7C5C6D3E" w14:textId="1F15D907" w:rsidR="00D61A28" w:rsidRPr="007F497B" w:rsidRDefault="00D61A28" w:rsidP="0066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Открытого акционерного общества "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Логойская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МТС "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Райагросервис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", </w:t>
            </w:r>
            <w:proofErr w:type="spellStart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>аг.Метличицы</w:t>
            </w:r>
            <w:proofErr w:type="spellEnd"/>
            <w:r w:rsidRPr="007F497B">
              <w:rPr>
                <w:rStyle w:val="714pt"/>
                <w:rFonts w:eastAsiaTheme="minorHAnsi"/>
                <w:bCs/>
                <w:sz w:val="24"/>
                <w:szCs w:val="24"/>
              </w:rPr>
              <w:t xml:space="preserve"> (УНП 601061192): </w:t>
            </w:r>
          </w:p>
        </w:tc>
        <w:tc>
          <w:tcPr>
            <w:tcW w:w="2268" w:type="dxa"/>
          </w:tcPr>
          <w:p w14:paraId="48000AC8" w14:textId="77777777" w:rsidR="0070102F" w:rsidRDefault="00D61A28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lastRenderedPageBreak/>
              <w:t>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Острошицы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», МТФ «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Веснино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», </w:t>
            </w:r>
            <w:proofErr w:type="spellStart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мехмастерска</w:t>
            </w:r>
            <w:r w:rsidR="0070102F">
              <w:rPr>
                <w:rStyle w:val="714pt"/>
                <w:rFonts w:eastAsiaTheme="minorHAnsi"/>
                <w:b w:val="0"/>
                <w:sz w:val="24"/>
                <w:szCs w:val="24"/>
              </w:rPr>
              <w:t>я</w:t>
            </w:r>
            <w:proofErr w:type="spellEnd"/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 xml:space="preserve">, </w:t>
            </w:r>
          </w:p>
          <w:p w14:paraId="5A667C41" w14:textId="77777777" w:rsidR="0070102F" w:rsidRDefault="0070102F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</w:p>
          <w:p w14:paraId="00D7E71A" w14:textId="44AA7565" w:rsidR="00D61A28" w:rsidRPr="007F497B" w:rsidRDefault="00D61A28" w:rsidP="00D61A28">
            <w:pPr>
              <w:pStyle w:val="70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sz w:val="24"/>
                <w:szCs w:val="24"/>
              </w:rPr>
            </w:pPr>
            <w:r w:rsidRPr="007F497B">
              <w:rPr>
                <w:rStyle w:val="714pt"/>
                <w:rFonts w:eastAsiaTheme="minorHAnsi"/>
                <w:b w:val="0"/>
                <w:sz w:val="24"/>
                <w:szCs w:val="24"/>
              </w:rPr>
              <w:t>склад пестицидов и минеральных удобрений;</w:t>
            </w:r>
          </w:p>
          <w:p w14:paraId="75C9826B" w14:textId="77777777" w:rsidR="00D61A28" w:rsidRPr="007F497B" w:rsidRDefault="00D61A28" w:rsidP="00D61A28">
            <w:pPr>
              <w:rPr>
                <w:sz w:val="24"/>
                <w:szCs w:val="24"/>
              </w:rPr>
            </w:pPr>
          </w:p>
          <w:p w14:paraId="7E302CF0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723E1" w14:textId="0156E8DE" w:rsidR="00667068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МТФ «</w:t>
            </w:r>
            <w:proofErr w:type="spellStart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Уболотье</w:t>
            </w:r>
            <w:proofErr w:type="spellEnd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55AB6DF6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DE4F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9A2CC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C9A99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5D9C6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1A016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5F06F" w14:textId="77777777" w:rsidR="0070102F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МТФ «Калачи», МТФ «Кременец», </w:t>
            </w:r>
          </w:p>
          <w:p w14:paraId="32D2928E" w14:textId="77777777" w:rsidR="0070102F" w:rsidRDefault="0070102F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D48FE" w14:textId="75D92FB6" w:rsidR="00D61A28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, склад пестицидов и минеральных удобрений </w:t>
            </w:r>
          </w:p>
          <w:p w14:paraId="28084251" w14:textId="77777777" w:rsidR="0070102F" w:rsidRPr="007F497B" w:rsidRDefault="0070102F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622E7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75D11" w14:textId="77777777" w:rsidR="00667068" w:rsidRDefault="0066706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58A77" w14:textId="77777777" w:rsidR="0070102F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МТФ «Слобода», МТФ «Метличицы-1», </w:t>
            </w:r>
          </w:p>
          <w:p w14:paraId="797EE750" w14:textId="77777777" w:rsidR="0070102F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МТК «Метличицы-2», </w:t>
            </w:r>
          </w:p>
          <w:p w14:paraId="3760DFD5" w14:textId="77777777" w:rsidR="0070102F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мехмастерская</w:t>
            </w:r>
            <w:proofErr w:type="spellEnd"/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CA867C9" w14:textId="77777777" w:rsidR="0070102F" w:rsidRDefault="0070102F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C8F34" w14:textId="77777777" w:rsidR="0070102F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склад пестицидов и минеральных удобрений,</w:t>
            </w:r>
          </w:p>
          <w:p w14:paraId="63E1AE53" w14:textId="133C7EEB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 xml:space="preserve"> склад пестицидов и минеральных удобрений </w:t>
            </w:r>
          </w:p>
        </w:tc>
        <w:tc>
          <w:tcPr>
            <w:tcW w:w="1418" w:type="dxa"/>
          </w:tcPr>
          <w:p w14:paraId="4C6230B4" w14:textId="77777777" w:rsidR="00D61A28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аг.Острошицы</w:t>
            </w:r>
            <w:proofErr w:type="spellEnd"/>
          </w:p>
          <w:p w14:paraId="74353619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д.Веснино</w:t>
            </w:r>
            <w:proofErr w:type="spellEnd"/>
          </w:p>
          <w:p w14:paraId="48C726C4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аг.Острошицы</w:t>
            </w:r>
            <w:proofErr w:type="spellEnd"/>
          </w:p>
          <w:p w14:paraId="78C57C83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аг.Острошицы</w:t>
            </w:r>
            <w:proofErr w:type="spellEnd"/>
          </w:p>
          <w:p w14:paraId="6ED43587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1F6171F2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23B4DF8B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3A448BE7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>д.Уболотье</w:t>
            </w:r>
            <w:proofErr w:type="spellEnd"/>
          </w:p>
          <w:p w14:paraId="139F8363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76D8F925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796103ED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57203CD3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0DE5F99C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4E6287C2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098029FC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аг.Калачи</w:t>
            </w:r>
            <w:proofErr w:type="spellEnd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,</w:t>
            </w:r>
          </w:p>
          <w:p w14:paraId="52B5C433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д.Кременец</w:t>
            </w:r>
            <w:proofErr w:type="spellEnd"/>
          </w:p>
          <w:p w14:paraId="487D96C6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аг.Калачи</w:t>
            </w:r>
            <w:proofErr w:type="spellEnd"/>
          </w:p>
          <w:p w14:paraId="6E113BD2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аг.Калачи</w:t>
            </w:r>
            <w:proofErr w:type="spellEnd"/>
          </w:p>
          <w:p w14:paraId="3B72F270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71345BB9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71636494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3096A60F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661D73AF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2DD116F1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д.Слобода</w:t>
            </w:r>
            <w:proofErr w:type="spellEnd"/>
          </w:p>
          <w:p w14:paraId="21B15C79" w14:textId="77777777" w:rsidR="0070102F" w:rsidRDefault="0070102F" w:rsidP="00D61A28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аг.Метличицы</w:t>
            </w:r>
            <w:proofErr w:type="spellEnd"/>
          </w:p>
          <w:p w14:paraId="76A4C28E" w14:textId="77777777" w:rsidR="0070102F" w:rsidRDefault="0070102F" w:rsidP="0070102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аг.Метличицы</w:t>
            </w:r>
            <w:proofErr w:type="spellEnd"/>
          </w:p>
          <w:p w14:paraId="5A9F468A" w14:textId="77777777" w:rsidR="0070102F" w:rsidRDefault="0070102F" w:rsidP="0070102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аг.Метличицы</w:t>
            </w:r>
            <w:proofErr w:type="spellEnd"/>
          </w:p>
          <w:p w14:paraId="711DFD2F" w14:textId="77777777" w:rsidR="0070102F" w:rsidRDefault="0070102F" w:rsidP="0070102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аг.Метличицы</w:t>
            </w:r>
            <w:proofErr w:type="spellEnd"/>
          </w:p>
          <w:p w14:paraId="6861CFA1" w14:textId="77777777" w:rsidR="0070102F" w:rsidRDefault="0070102F" w:rsidP="0070102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</w:p>
          <w:p w14:paraId="63E98D54" w14:textId="3E4E9974" w:rsidR="0070102F" w:rsidRPr="007F497B" w:rsidRDefault="0070102F" w:rsidP="0070102F">
            <w:pPr>
              <w:pStyle w:val="70"/>
              <w:shd w:val="clear" w:color="auto" w:fill="auto"/>
              <w:spacing w:before="0" w:after="0" w:line="240" w:lineRule="auto"/>
              <w:ind w:left="20"/>
              <w:jc w:val="both"/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</w:pPr>
            <w:proofErr w:type="spellStart"/>
            <w:r w:rsidRPr="0070102F">
              <w:rPr>
                <w:rStyle w:val="714pt"/>
                <w:rFonts w:eastAsiaTheme="minorHAnsi"/>
                <w:b w:val="0"/>
                <w:bCs w:val="0"/>
                <w:sz w:val="24"/>
                <w:szCs w:val="24"/>
              </w:rPr>
              <w:t>д.Жестиное</w:t>
            </w:r>
            <w:proofErr w:type="spellEnd"/>
          </w:p>
        </w:tc>
        <w:tc>
          <w:tcPr>
            <w:tcW w:w="1559" w:type="dxa"/>
          </w:tcPr>
          <w:p w14:paraId="11DFADEE" w14:textId="77777777" w:rsidR="00D61A28" w:rsidRPr="007F497B" w:rsidRDefault="00D61A28" w:rsidP="00D61A28">
            <w:pPr>
              <w:ind w:left="-3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февраль</w:t>
            </w:r>
          </w:p>
          <w:p w14:paraId="4D2031D7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4EFA7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ABEC0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8080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838C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D4B8D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85B2D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D066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DA70E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EA14C" w14:textId="77777777" w:rsidR="007F497B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14:paraId="496EB8F3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A2209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8925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373CB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F83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7CB57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0AA8A" w14:textId="14ABD798" w:rsidR="007F497B" w:rsidRPr="007F497B" w:rsidRDefault="00667068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2DB333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CE72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7B79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F7D2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F21C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0D90B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ACFB0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E521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08E02" w14:textId="77777777" w:rsidR="00D61A28" w:rsidRPr="007F497B" w:rsidRDefault="007F497B" w:rsidP="007F4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14:paraId="64249F0B" w14:textId="77777777" w:rsidR="00D61A28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</w:t>
            </w:r>
          </w:p>
          <w:p w14:paraId="6BF64B4D" w14:textId="77777777" w:rsidR="00D61A28" w:rsidRPr="007F497B" w:rsidRDefault="00D61A28" w:rsidP="00D6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14:paraId="62B3AECC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5C29F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80090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7400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0D5C0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517F7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54A2D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B8C51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2F5D0" w14:textId="77777777" w:rsidR="007F497B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тематический</w:t>
            </w:r>
          </w:p>
          <w:p w14:paraId="752D0619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FEF9B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F756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528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37018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01B24" w14:textId="3DC6CA34" w:rsidR="007F497B" w:rsidRPr="007F497B" w:rsidRDefault="00667068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8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  <w:p w14:paraId="3ADE066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94EF9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79C51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4C4F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5F787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B2D0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994F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890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60500" w14:textId="77777777" w:rsidR="00D61A28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</w:t>
            </w:r>
          </w:p>
        </w:tc>
        <w:tc>
          <w:tcPr>
            <w:tcW w:w="4253" w:type="dxa"/>
          </w:tcPr>
          <w:p w14:paraId="3EAA859A" w14:textId="77777777" w:rsidR="00D61A28" w:rsidRPr="007F497B" w:rsidRDefault="00D61A28" w:rsidP="00D61A28">
            <w:pPr>
              <w:ind w:right="1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Соблюдение требований санитарно-эпидемиологического законодательства на объектах АПК</w:t>
            </w:r>
          </w:p>
          <w:p w14:paraId="2ED42C0E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AD706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7D506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2AD7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1D8C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65A7B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9D343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7C1D" w14:textId="77777777" w:rsidR="00D61A28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86F60" w14:textId="77777777" w:rsidR="007F497B" w:rsidRPr="007F497B" w:rsidRDefault="00D61A28" w:rsidP="00D61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  <w:p w14:paraId="16C5A60C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FCA9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CC1FA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5E98" w14:textId="0C47AA1B" w:rsidR="007F497B" w:rsidRPr="007F497B" w:rsidRDefault="00667068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068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  <w:p w14:paraId="660BF80F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8479D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04F04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42565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5E78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7C375" w14:textId="77777777" w:rsidR="007F497B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03EB" w14:textId="77777777" w:rsidR="00D61A28" w:rsidRPr="007F497B" w:rsidRDefault="007F497B" w:rsidP="007F4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97B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санитарно-эпидемиологического законодательства на объектах АПК</w:t>
            </w:r>
          </w:p>
        </w:tc>
      </w:tr>
    </w:tbl>
    <w:p w14:paraId="72949EEC" w14:textId="77777777" w:rsidR="00AD4245" w:rsidRPr="007F497B" w:rsidRDefault="00AD4245" w:rsidP="002051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D32DA" w14:textId="77777777" w:rsidR="007F497B" w:rsidRDefault="007F497B" w:rsidP="002051D9">
      <w:pPr>
        <w:jc w:val="center"/>
        <w:rPr>
          <w:rFonts w:ascii="Times New Roman" w:hAnsi="Times New Roman" w:cs="Times New Roman"/>
          <w:sz w:val="28"/>
        </w:rPr>
      </w:pPr>
    </w:p>
    <w:p w14:paraId="6344D685" w14:textId="77777777" w:rsidR="007F497B" w:rsidRDefault="007F497B" w:rsidP="002051D9">
      <w:pPr>
        <w:jc w:val="center"/>
        <w:rPr>
          <w:rFonts w:ascii="Times New Roman" w:hAnsi="Times New Roman" w:cs="Times New Roman"/>
          <w:sz w:val="28"/>
        </w:rPr>
      </w:pPr>
    </w:p>
    <w:sectPr w:rsidR="007F497B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F63"/>
    <w:rsid w:val="000016EA"/>
    <w:rsid w:val="0001650D"/>
    <w:rsid w:val="00035F0C"/>
    <w:rsid w:val="00051200"/>
    <w:rsid w:val="00053B58"/>
    <w:rsid w:val="00072058"/>
    <w:rsid w:val="00084DAA"/>
    <w:rsid w:val="00090C47"/>
    <w:rsid w:val="000B54E7"/>
    <w:rsid w:val="000F0E53"/>
    <w:rsid w:val="000F27CE"/>
    <w:rsid w:val="000F5D76"/>
    <w:rsid w:val="00101EC2"/>
    <w:rsid w:val="00116502"/>
    <w:rsid w:val="0015152D"/>
    <w:rsid w:val="001803C7"/>
    <w:rsid w:val="00180BEF"/>
    <w:rsid w:val="001909CD"/>
    <w:rsid w:val="001A6BB7"/>
    <w:rsid w:val="001B198A"/>
    <w:rsid w:val="001C3824"/>
    <w:rsid w:val="001C3D1F"/>
    <w:rsid w:val="001E0DFB"/>
    <w:rsid w:val="0020460B"/>
    <w:rsid w:val="002051D9"/>
    <w:rsid w:val="00205D05"/>
    <w:rsid w:val="00205D7C"/>
    <w:rsid w:val="0020637A"/>
    <w:rsid w:val="002210CF"/>
    <w:rsid w:val="0022526F"/>
    <w:rsid w:val="00242589"/>
    <w:rsid w:val="00243796"/>
    <w:rsid w:val="002459BA"/>
    <w:rsid w:val="00272C41"/>
    <w:rsid w:val="002818C1"/>
    <w:rsid w:val="0029432F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9633D"/>
    <w:rsid w:val="003A06E3"/>
    <w:rsid w:val="003A3308"/>
    <w:rsid w:val="003B5032"/>
    <w:rsid w:val="003B77A0"/>
    <w:rsid w:val="003C51F4"/>
    <w:rsid w:val="003E52E2"/>
    <w:rsid w:val="004069E9"/>
    <w:rsid w:val="004106C6"/>
    <w:rsid w:val="00421837"/>
    <w:rsid w:val="004336A6"/>
    <w:rsid w:val="004470EE"/>
    <w:rsid w:val="00447281"/>
    <w:rsid w:val="00451948"/>
    <w:rsid w:val="00457E12"/>
    <w:rsid w:val="0048156B"/>
    <w:rsid w:val="004A6B34"/>
    <w:rsid w:val="004A70CF"/>
    <w:rsid w:val="004C6A9E"/>
    <w:rsid w:val="004D09DA"/>
    <w:rsid w:val="004D24D3"/>
    <w:rsid w:val="004D2837"/>
    <w:rsid w:val="004E0132"/>
    <w:rsid w:val="004E5E9E"/>
    <w:rsid w:val="004F0315"/>
    <w:rsid w:val="004F0B63"/>
    <w:rsid w:val="004F392B"/>
    <w:rsid w:val="004F6347"/>
    <w:rsid w:val="005029E3"/>
    <w:rsid w:val="00521E8C"/>
    <w:rsid w:val="005423D6"/>
    <w:rsid w:val="005501E9"/>
    <w:rsid w:val="005539CD"/>
    <w:rsid w:val="00554E0F"/>
    <w:rsid w:val="0057116D"/>
    <w:rsid w:val="00580262"/>
    <w:rsid w:val="005C39BD"/>
    <w:rsid w:val="005C408E"/>
    <w:rsid w:val="005C7AA5"/>
    <w:rsid w:val="005D2C98"/>
    <w:rsid w:val="005F5F9C"/>
    <w:rsid w:val="006018A6"/>
    <w:rsid w:val="00632044"/>
    <w:rsid w:val="006355E3"/>
    <w:rsid w:val="006425E2"/>
    <w:rsid w:val="006665F1"/>
    <w:rsid w:val="00667068"/>
    <w:rsid w:val="006714DF"/>
    <w:rsid w:val="006857E9"/>
    <w:rsid w:val="00694AE6"/>
    <w:rsid w:val="006A7560"/>
    <w:rsid w:val="006C69D9"/>
    <w:rsid w:val="006D6516"/>
    <w:rsid w:val="006E702B"/>
    <w:rsid w:val="006F1A08"/>
    <w:rsid w:val="006F7268"/>
    <w:rsid w:val="0070102F"/>
    <w:rsid w:val="007112D6"/>
    <w:rsid w:val="00727F1C"/>
    <w:rsid w:val="0073160F"/>
    <w:rsid w:val="0073374C"/>
    <w:rsid w:val="00734570"/>
    <w:rsid w:val="00737C70"/>
    <w:rsid w:val="00751BDF"/>
    <w:rsid w:val="007553B8"/>
    <w:rsid w:val="00770467"/>
    <w:rsid w:val="00780174"/>
    <w:rsid w:val="00781328"/>
    <w:rsid w:val="007A39F3"/>
    <w:rsid w:val="007A6FD1"/>
    <w:rsid w:val="007B10EE"/>
    <w:rsid w:val="007B37D7"/>
    <w:rsid w:val="007B5BFA"/>
    <w:rsid w:val="007D303B"/>
    <w:rsid w:val="007F497B"/>
    <w:rsid w:val="0080571C"/>
    <w:rsid w:val="0083329E"/>
    <w:rsid w:val="00856C51"/>
    <w:rsid w:val="008770F7"/>
    <w:rsid w:val="00887E90"/>
    <w:rsid w:val="00890077"/>
    <w:rsid w:val="008B5A0B"/>
    <w:rsid w:val="008D1B0D"/>
    <w:rsid w:val="008D43A7"/>
    <w:rsid w:val="008D4B38"/>
    <w:rsid w:val="008E1047"/>
    <w:rsid w:val="008E3CED"/>
    <w:rsid w:val="008E64A3"/>
    <w:rsid w:val="008E75A3"/>
    <w:rsid w:val="00920057"/>
    <w:rsid w:val="009246F1"/>
    <w:rsid w:val="00927374"/>
    <w:rsid w:val="009312DE"/>
    <w:rsid w:val="009345EB"/>
    <w:rsid w:val="00935A44"/>
    <w:rsid w:val="00947A2C"/>
    <w:rsid w:val="00951922"/>
    <w:rsid w:val="009548CF"/>
    <w:rsid w:val="00972351"/>
    <w:rsid w:val="0099223F"/>
    <w:rsid w:val="009935C1"/>
    <w:rsid w:val="00995CAA"/>
    <w:rsid w:val="009A5E73"/>
    <w:rsid w:val="009B2341"/>
    <w:rsid w:val="009B5DEF"/>
    <w:rsid w:val="009B7BAB"/>
    <w:rsid w:val="009C5564"/>
    <w:rsid w:val="009D2A6D"/>
    <w:rsid w:val="00A10D52"/>
    <w:rsid w:val="00A2782F"/>
    <w:rsid w:val="00A30411"/>
    <w:rsid w:val="00A36CB8"/>
    <w:rsid w:val="00A413FE"/>
    <w:rsid w:val="00A44ADB"/>
    <w:rsid w:val="00A6193E"/>
    <w:rsid w:val="00A81F2C"/>
    <w:rsid w:val="00AA22F8"/>
    <w:rsid w:val="00AC72AF"/>
    <w:rsid w:val="00AD314F"/>
    <w:rsid w:val="00AD4245"/>
    <w:rsid w:val="00AF3940"/>
    <w:rsid w:val="00AF3FA1"/>
    <w:rsid w:val="00AF4113"/>
    <w:rsid w:val="00AF4DBB"/>
    <w:rsid w:val="00AF5B4F"/>
    <w:rsid w:val="00B0673C"/>
    <w:rsid w:val="00B1190E"/>
    <w:rsid w:val="00B25BB3"/>
    <w:rsid w:val="00B27F09"/>
    <w:rsid w:val="00B3126C"/>
    <w:rsid w:val="00B33489"/>
    <w:rsid w:val="00B52523"/>
    <w:rsid w:val="00B83B10"/>
    <w:rsid w:val="00B869AE"/>
    <w:rsid w:val="00B86D13"/>
    <w:rsid w:val="00BA2E8F"/>
    <w:rsid w:val="00BB43D8"/>
    <w:rsid w:val="00BE7184"/>
    <w:rsid w:val="00C31407"/>
    <w:rsid w:val="00C51054"/>
    <w:rsid w:val="00C57509"/>
    <w:rsid w:val="00C65A27"/>
    <w:rsid w:val="00C942A7"/>
    <w:rsid w:val="00CD5996"/>
    <w:rsid w:val="00CE72EA"/>
    <w:rsid w:val="00CF367D"/>
    <w:rsid w:val="00D00F91"/>
    <w:rsid w:val="00D013FF"/>
    <w:rsid w:val="00D024ED"/>
    <w:rsid w:val="00D16416"/>
    <w:rsid w:val="00D16FB5"/>
    <w:rsid w:val="00D25F88"/>
    <w:rsid w:val="00D353E6"/>
    <w:rsid w:val="00D61A28"/>
    <w:rsid w:val="00D65490"/>
    <w:rsid w:val="00DA6375"/>
    <w:rsid w:val="00DB0CC8"/>
    <w:rsid w:val="00DB6F4A"/>
    <w:rsid w:val="00DB7CEC"/>
    <w:rsid w:val="00DD7119"/>
    <w:rsid w:val="00DE6B1B"/>
    <w:rsid w:val="00E11C95"/>
    <w:rsid w:val="00E21CF0"/>
    <w:rsid w:val="00E3253B"/>
    <w:rsid w:val="00E3341D"/>
    <w:rsid w:val="00E53C3E"/>
    <w:rsid w:val="00E54B4A"/>
    <w:rsid w:val="00E62323"/>
    <w:rsid w:val="00E72ABB"/>
    <w:rsid w:val="00E75554"/>
    <w:rsid w:val="00E91DF8"/>
    <w:rsid w:val="00E969B4"/>
    <w:rsid w:val="00EA6565"/>
    <w:rsid w:val="00EB6D8F"/>
    <w:rsid w:val="00EE3DF0"/>
    <w:rsid w:val="00F0107A"/>
    <w:rsid w:val="00F0151E"/>
    <w:rsid w:val="00F107F5"/>
    <w:rsid w:val="00F25BD0"/>
    <w:rsid w:val="00F44CCE"/>
    <w:rsid w:val="00F47023"/>
    <w:rsid w:val="00F53D3E"/>
    <w:rsid w:val="00F71D52"/>
    <w:rsid w:val="00F829B0"/>
    <w:rsid w:val="00F94843"/>
    <w:rsid w:val="00F9637A"/>
    <w:rsid w:val="00F97A58"/>
    <w:rsid w:val="00FA595C"/>
    <w:rsid w:val="00FB04C6"/>
    <w:rsid w:val="00FB5F15"/>
    <w:rsid w:val="00FC0EF6"/>
    <w:rsid w:val="00FC2DC1"/>
    <w:rsid w:val="00FC5101"/>
    <w:rsid w:val="00FD1BEB"/>
    <w:rsid w:val="00FD1F63"/>
    <w:rsid w:val="00FD23D9"/>
    <w:rsid w:val="00FD489E"/>
    <w:rsid w:val="00FE2308"/>
    <w:rsid w:val="00FE618D"/>
    <w:rsid w:val="00FE6652"/>
    <w:rsid w:val="00FE6CB6"/>
    <w:rsid w:val="00FF0E4E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3" type="connector" idref="#_x0000_s1041"/>
        <o:r id="V:Rule4" type="connector" idref="#_x0000_s1042"/>
        <o:r id="V:Rule6" type="connector" idref="#_x0000_s1043"/>
      </o:rules>
    </o:shapelayout>
  </w:shapeDefaults>
  <w:decimalSymbol w:val=","/>
  <w:listSeparator w:val=";"/>
  <w14:docId w14:val="04BF32EB"/>
  <w15:docId w15:val="{9EEC3F13-9FCD-4B0F-89B7-F6D4734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  <w:style w:type="character" w:customStyle="1" w:styleId="714pt">
    <w:name w:val="Основной текст (7) + 14 pt;Не полужирный"/>
    <w:rsid w:val="0099223F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14pt0">
    <w:name w:val="Основной текст (7) + 14 pt"/>
    <w:aliases w:val="Не полужирный"/>
    <w:basedOn w:val="a0"/>
    <w:rsid w:val="00FA59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">
    <w:name w:val="Основной текст (7)_"/>
    <w:link w:val="70"/>
    <w:rsid w:val="00890077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0077"/>
    <w:pPr>
      <w:widowControl w:val="0"/>
      <w:shd w:val="clear" w:color="auto" w:fill="FFFFFF"/>
      <w:spacing w:before="1020" w:after="540" w:line="293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C20F-E790-4DDF-BBC5-1CDF1F7A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31</cp:revision>
  <cp:lastPrinted>2024-10-30T05:55:00Z</cp:lastPrinted>
  <dcterms:created xsi:type="dcterms:W3CDTF">2024-10-30T05:59:00Z</dcterms:created>
  <dcterms:modified xsi:type="dcterms:W3CDTF">2025-02-26T06:40:00Z</dcterms:modified>
</cp:coreProperties>
</file>